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32FB76EA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04EE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22</w:t>
      </w:r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45944984" w14:textId="77777777" w:rsidR="00C04EED" w:rsidRDefault="00C04EED" w:rsidP="00C04EED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64D52C56" w14:textId="77777777" w:rsidR="00C04EED" w:rsidRDefault="00C04EED" w:rsidP="00C04EED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6112CF7C" w14:textId="77777777" w:rsidR="00C04EED" w:rsidRDefault="00C04EED" w:rsidP="00C04EED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29AEA5A2" w14:textId="77777777" w:rsidR="00C04EED" w:rsidRDefault="00C04EED" w:rsidP="00C04EED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8A378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8A378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8A378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8A378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8A378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4849B579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5D735DF1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C04EED">
        <w:rPr>
          <w:rFonts w:ascii="Arial" w:hAnsi="Arial" w:cs="Arial"/>
        </w:rPr>
        <w:t>22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29A828CA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167ADA" w:rsidRPr="00167ADA">
        <w:rPr>
          <w:rFonts w:ascii="Arial" w:hAnsi="Arial" w:cs="Arial"/>
        </w:rPr>
        <w:t>infrastrukturu pro deinstitucionalizaci sociálních služeb</w:t>
      </w:r>
      <w:r w:rsidR="00167ADA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18FBC7B6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167ADA" w:rsidRPr="00167ADA">
        <w:rPr>
          <w:rFonts w:ascii="Arial" w:hAnsi="Arial" w:cs="Arial"/>
        </w:rPr>
        <w:t>infrastrukturu pro deinstitucionalizaci sociálních služeb</w:t>
      </w:r>
      <w:r w:rsidR="00B03A83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09AFB579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167ADA" w:rsidRPr="00167ADA">
        <w:rPr>
          <w:rFonts w:ascii="Arial" w:hAnsi="Arial" w:cs="Arial"/>
        </w:rPr>
        <w:t>infrastrukturu pro deinstitucionalizaci sociálních služeb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3006DD59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167ADA" w:rsidRPr="00167ADA">
        <w:rPr>
          <w:rFonts w:ascii="Arial" w:hAnsi="Arial" w:cs="Arial"/>
        </w:rPr>
        <w:t>infrastrukturu pro deinstitucionalizaci sociálních služeb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7927487B" w14:textId="77777777" w:rsidR="00CA1755" w:rsidRDefault="00DF63E1" w:rsidP="00CA1755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1755" w14:paraId="07A2B927" w14:textId="77777777" w:rsidTr="00841CBE">
        <w:tc>
          <w:tcPr>
            <w:tcW w:w="9062" w:type="dxa"/>
          </w:tcPr>
          <w:p w14:paraId="73149922" w14:textId="77777777" w:rsidR="00CA1755" w:rsidRPr="00870204" w:rsidRDefault="00CA1755" w:rsidP="00841CBE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78439054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(Eco Management and Audit Scheme),</w:t>
            </w:r>
          </w:p>
          <w:p w14:paraId="5304E4C5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7DC935F3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2B27AA0F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2BB3C1D0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2A1F2387" w14:textId="77777777" w:rsidR="00CA1755" w:rsidRPr="001435B5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1DE1C8CA" w14:textId="77777777" w:rsidR="00CA1755" w:rsidRDefault="00CA1755" w:rsidP="00686DD9">
      <w:pPr>
        <w:spacing w:before="240" w:after="120"/>
        <w:jc w:val="both"/>
        <w:rPr>
          <w:rFonts w:ascii="Arial" w:hAnsi="Arial" w:cs="Arial"/>
          <w:b/>
          <w:bCs/>
        </w:rPr>
      </w:pP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4040C70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4571C">
        <w:rPr>
          <w:rFonts w:ascii="Arial" w:hAnsi="Arial" w:cs="Arial"/>
        </w:rPr>
        <w:t xml:space="preserve">pro </w:t>
      </w:r>
      <w:r w:rsidR="0064571C" w:rsidRPr="0064571C">
        <w:rPr>
          <w:rFonts w:ascii="Arial" w:hAnsi="Arial" w:cs="Arial"/>
        </w:rPr>
        <w:t>deinstitucionalizaci sociálních služeb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73F682DE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167ADA">
        <w:rPr>
          <w:rFonts w:ascii="Arial" w:hAnsi="Arial" w:cs="Arial"/>
        </w:rPr>
        <w:t xml:space="preserve">infrastrukturu pro </w:t>
      </w:r>
      <w:r w:rsidR="0064571C" w:rsidRPr="0064571C">
        <w:rPr>
          <w:rFonts w:ascii="Arial" w:hAnsi="Arial" w:cs="Arial"/>
        </w:rPr>
        <w:t>deinstitucionalizaci sociálních služeb</w:t>
      </w:r>
      <w:bookmarkEnd w:id="14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6"/>
  </w:num>
  <w:num w:numId="5" w16cid:durableId="1211071514">
    <w:abstractNumId w:val="12"/>
  </w:num>
  <w:num w:numId="6" w16cid:durableId="1895694538">
    <w:abstractNumId w:val="37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8"/>
  </w:num>
  <w:num w:numId="12" w16cid:durableId="979069352">
    <w:abstractNumId w:val="33"/>
  </w:num>
  <w:num w:numId="13" w16cid:durableId="23987551">
    <w:abstractNumId w:val="14"/>
    <w:lvlOverride w:ilvl="0">
      <w:startOverride w:val="1"/>
    </w:lvlOverride>
  </w:num>
  <w:num w:numId="14" w16cid:durableId="79723133">
    <w:abstractNumId w:val="38"/>
  </w:num>
  <w:num w:numId="15" w16cid:durableId="738164673">
    <w:abstractNumId w:val="18"/>
  </w:num>
  <w:num w:numId="16" w16cid:durableId="988677747">
    <w:abstractNumId w:val="36"/>
  </w:num>
  <w:num w:numId="17" w16cid:durableId="598105379">
    <w:abstractNumId w:val="35"/>
  </w:num>
  <w:num w:numId="18" w16cid:durableId="1474248342">
    <w:abstractNumId w:val="23"/>
  </w:num>
  <w:num w:numId="19" w16cid:durableId="2072075793">
    <w:abstractNumId w:val="39"/>
  </w:num>
  <w:num w:numId="20" w16cid:durableId="1029795421">
    <w:abstractNumId w:val="47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2"/>
  </w:num>
  <w:num w:numId="25" w16cid:durableId="365062650">
    <w:abstractNumId w:val="50"/>
  </w:num>
  <w:num w:numId="26" w16cid:durableId="822769905">
    <w:abstractNumId w:val="5"/>
  </w:num>
  <w:num w:numId="27" w16cid:durableId="737285419">
    <w:abstractNumId w:val="44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4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1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5"/>
  </w:num>
  <w:num w:numId="43" w16cid:durableId="1776753379">
    <w:abstractNumId w:val="51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3"/>
  </w:num>
  <w:num w:numId="47" w16cid:durableId="1859001351">
    <w:abstractNumId w:val="49"/>
  </w:num>
  <w:num w:numId="48" w16cid:durableId="1557861170">
    <w:abstractNumId w:val="15"/>
  </w:num>
  <w:num w:numId="49" w16cid:durableId="785544993">
    <w:abstractNumId w:val="40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1200861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3A8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789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4EED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1755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1932</Words>
  <Characters>11401</Characters>
  <Application>Microsoft Office Word</Application>
  <DocSecurity>4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Jalůvková Zuzana</cp:lastModifiedBy>
  <cp:revision>2</cp:revision>
  <cp:lastPrinted>2023-02-21T14:27:00Z</cp:lastPrinted>
  <dcterms:created xsi:type="dcterms:W3CDTF">2024-05-24T06:33:00Z</dcterms:created>
  <dcterms:modified xsi:type="dcterms:W3CDTF">2024-05-24T06:33:00Z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