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4C374C32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7A6231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a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03F8C9FC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34489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v Českém </w:t>
      </w:r>
      <w:proofErr w:type="gramStart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proofErr w:type="gramEnd"/>
    </w:p>
    <w:p w14:paraId="44CD7980" w14:textId="2BEF4977" w:rsidR="007A6231" w:rsidRPr="00A250EA" w:rsidRDefault="007A6231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1. část veřejné zakázky „</w:t>
      </w:r>
      <w:r w:rsidR="00A250EA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Nábytek</w:t>
      </w: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4E907411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FD6F1E" w:rsidRPr="00FD6F1E">
        <w:rPr>
          <w:rFonts w:ascii="Calibri Light" w:hAnsi="Calibri Light" w:cs="Calibri Light"/>
          <w:sz w:val="18"/>
          <w:szCs w:val="18"/>
          <w:lang w:eastAsia="cs-CZ"/>
        </w:rPr>
        <w:t>Truhlářství, podlahářství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363C573" w14:textId="77777777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 posledních 3 letech realizoval 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>nejméně 2 (dvě) zakázky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, jejichž předmětem byla dodávka nábytku a interiérového vybavení obdobného charakteru předmětu veřejné zakázky (tzn. zejména stolů, židlí, skříněk včetně jejich kompletace v místě plnění) v minimálním finančním objemu 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1 000 000,00 Kč bez DPH 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>za každou takovou referenční zakázku zvlášť.</w:t>
      </w:r>
    </w:p>
    <w:p w14:paraId="159A8C78" w14:textId="77777777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2</w:t>
            </w:r>
          </w:p>
        </w:tc>
      </w:tr>
      <w:tr w:rsidR="00822E39" w:rsidRPr="003B407E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1B6A2C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568E9B3B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7E60D7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68F6" w14:textId="77777777" w:rsidR="00051DD7" w:rsidRDefault="00051DD7" w:rsidP="00C726BB">
      <w:r>
        <w:separator/>
      </w:r>
    </w:p>
  </w:endnote>
  <w:endnote w:type="continuationSeparator" w:id="0">
    <w:p w14:paraId="18F122EA" w14:textId="77777777" w:rsidR="00051DD7" w:rsidRDefault="00051DD7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C424" w14:textId="77777777" w:rsidR="00051DD7" w:rsidRDefault="00051DD7" w:rsidP="00C726BB">
      <w:r>
        <w:separator/>
      </w:r>
    </w:p>
  </w:footnote>
  <w:footnote w:type="continuationSeparator" w:id="0">
    <w:p w14:paraId="0E63A5E9" w14:textId="77777777" w:rsidR="00051DD7" w:rsidRDefault="00051DD7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51DD7"/>
    <w:rsid w:val="00076D7D"/>
    <w:rsid w:val="00081B00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B407E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C679F"/>
    <w:rsid w:val="00CD52C3"/>
    <w:rsid w:val="00CE6B01"/>
    <w:rsid w:val="00CE7219"/>
    <w:rsid w:val="00CF59FF"/>
    <w:rsid w:val="00D04CFA"/>
    <w:rsid w:val="00D0750D"/>
    <w:rsid w:val="00D34489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51322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2137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7</cp:revision>
  <cp:lastPrinted>2021-03-16T08:15:00Z</cp:lastPrinted>
  <dcterms:created xsi:type="dcterms:W3CDTF">2023-12-19T20:38:00Z</dcterms:created>
  <dcterms:modified xsi:type="dcterms:W3CDTF">2024-01-07T21:13:00Z</dcterms:modified>
</cp:coreProperties>
</file>