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704800FC" w:rsidR="00FF7BAE" w:rsidRPr="00C6225B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color w:val="FFFFFF" w:themeColor="background1"/>
          <w:sz w:val="22"/>
          <w:szCs w:val="22"/>
        </w:rPr>
      </w:pPr>
      <w:r w:rsidRPr="00C6225B">
        <w:rPr>
          <w:rFonts w:ascii="Calibri Light" w:hAnsi="Calibri Light" w:cs="Calibri Light"/>
          <w:color w:val="FFFFFF" w:themeColor="background1"/>
          <w:sz w:val="22"/>
          <w:szCs w:val="22"/>
        </w:rPr>
        <w:t>Příloha č. 1</w:t>
      </w:r>
      <w:r w:rsidR="007A6231" w:rsidRPr="00C6225B">
        <w:rPr>
          <w:rFonts w:ascii="Calibri Light" w:hAnsi="Calibri Light" w:cs="Calibri Light"/>
          <w:color w:val="FFFFFF" w:themeColor="background1"/>
          <w:sz w:val="22"/>
          <w:szCs w:val="22"/>
        </w:rPr>
        <w:t>a</w:t>
      </w:r>
      <w:r w:rsidRPr="00C6225B">
        <w:rPr>
          <w:rFonts w:ascii="Calibri Light" w:hAnsi="Calibri Light" w:cs="Calibri Light"/>
          <w:color w:val="FFFFFF" w:themeColor="background1"/>
          <w:sz w:val="22"/>
          <w:szCs w:val="22"/>
        </w:rPr>
        <w:t xml:space="preserve"> </w:t>
      </w:r>
      <w:r w:rsidR="00C6225B" w:rsidRPr="00C6225B">
        <w:rPr>
          <w:rFonts w:ascii="Calibri Light" w:hAnsi="Calibri Light" w:cs="Calibri Light"/>
          <w:color w:val="FFFFFF" w:themeColor="background1"/>
          <w:sz w:val="22"/>
          <w:szCs w:val="22"/>
        </w:rPr>
        <w:t>Zadávací dokumentace</w:t>
      </w:r>
    </w:p>
    <w:p w14:paraId="646B5847" w14:textId="7277118E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060CBA11" w14:textId="10DAC2E0" w:rsidR="00A250EA" w:rsidRDefault="00A250EA" w:rsidP="00A250EA">
      <w:pPr>
        <w:rPr>
          <w:rFonts w:ascii="Calibri Light" w:hAnsi="Calibri Light" w:cs="Calibri Light"/>
          <w:color w:val="595959" w:themeColor="text1" w:themeTint="A6"/>
          <w:sz w:val="36"/>
          <w:szCs w:val="36"/>
        </w:rPr>
      </w:pPr>
      <w:bookmarkStart w:id="0" w:name="_Hlk21069932"/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Moderní výukové metody na </w:t>
      </w:r>
      <w:r w:rsidR="00D34489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základních školách</w:t>
      </w:r>
      <w:r w:rsidR="00D34489"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v Českém Těšíně</w:t>
      </w:r>
      <w:r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 w:rsidR="004E6C3F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–</w:t>
      </w:r>
      <w:r w:rsidR="00D34489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>
        <w:rPr>
          <w:rFonts w:ascii="Calibri Light" w:hAnsi="Calibri Light" w:cs="Calibri Light"/>
          <w:color w:val="595959" w:themeColor="text1" w:themeTint="A6"/>
          <w:sz w:val="36"/>
          <w:szCs w:val="36"/>
        </w:rPr>
        <w:t>Dodávky</w:t>
      </w:r>
      <w:r w:rsidR="004E6C3F">
        <w:rPr>
          <w:rFonts w:ascii="Calibri Light" w:hAnsi="Calibri Light" w:cs="Calibri Light"/>
          <w:color w:val="595959" w:themeColor="text1" w:themeTint="A6"/>
          <w:sz w:val="36"/>
          <w:szCs w:val="36"/>
        </w:rPr>
        <w:t xml:space="preserve"> II</w:t>
      </w:r>
      <w:r w:rsidR="00BA3F72">
        <w:rPr>
          <w:rFonts w:ascii="Calibri Light" w:hAnsi="Calibri Light" w:cs="Calibri Light"/>
          <w:color w:val="595959" w:themeColor="text1" w:themeTint="A6"/>
          <w:sz w:val="36"/>
          <w:szCs w:val="36"/>
        </w:rPr>
        <w:t>I</w:t>
      </w:r>
    </w:p>
    <w:p w14:paraId="44CD7980" w14:textId="2BEF4977" w:rsidR="007A6231" w:rsidRPr="00A250EA" w:rsidRDefault="007A6231" w:rsidP="00251D18">
      <w:pPr>
        <w:widowControl w:val="0"/>
        <w:suppressAutoHyphens/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</w:pPr>
      <w:r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1. část veřejné zakázky „</w:t>
      </w:r>
      <w:r w:rsidR="00A250EA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Nábytek</w:t>
      </w:r>
      <w:r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“</w:t>
      </w:r>
    </w:p>
    <w:bookmarkEnd w:id="0"/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00C3437" w14:textId="64B328CD" w:rsidR="00B727A6" w:rsidRPr="003B407E" w:rsidRDefault="00B727A6" w:rsidP="00B727A6">
      <w:p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Zadavatel:</w:t>
      </w:r>
      <w:r w:rsidRPr="003B407E">
        <w:rPr>
          <w:rFonts w:ascii="Calibri Light" w:hAnsi="Calibri Light" w:cs="Calibri Light"/>
          <w:sz w:val="18"/>
          <w:szCs w:val="18"/>
        </w:rPr>
        <w:tab/>
      </w:r>
    </w:p>
    <w:p w14:paraId="386C6CF4" w14:textId="77777777" w:rsidR="00A250EA" w:rsidRPr="00A250EA" w:rsidRDefault="00B532D2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název: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A250EA" w:rsidRPr="00A250EA">
        <w:rPr>
          <w:rFonts w:ascii="Calibri Light" w:hAnsi="Calibri Light" w:cs="Calibri Light"/>
          <w:sz w:val="18"/>
          <w:szCs w:val="18"/>
        </w:rPr>
        <w:t>Město Český Těšín</w:t>
      </w:r>
    </w:p>
    <w:p w14:paraId="329C98B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se sídlem: </w:t>
      </w:r>
      <w:r w:rsidRPr="00A250EA">
        <w:rPr>
          <w:rFonts w:ascii="Calibri Light" w:hAnsi="Calibri Light" w:cs="Calibri Light"/>
          <w:sz w:val="18"/>
          <w:szCs w:val="18"/>
        </w:rPr>
        <w:tab/>
        <w:t>nám. ČSA 1/1, 737 01 Český Těšín</w:t>
      </w:r>
    </w:p>
    <w:p w14:paraId="3C9AA627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zastoupena: </w:t>
      </w:r>
      <w:r w:rsidRPr="00A250EA">
        <w:rPr>
          <w:rFonts w:ascii="Calibri Light" w:hAnsi="Calibri Light" w:cs="Calibri Light"/>
          <w:sz w:val="18"/>
          <w:szCs w:val="18"/>
        </w:rPr>
        <w:tab/>
        <w:t>Karlem Kulou, starostou</w:t>
      </w:r>
    </w:p>
    <w:p w14:paraId="13E4F69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>IČO:</w:t>
      </w:r>
      <w:r w:rsidRPr="00A250EA">
        <w:rPr>
          <w:rFonts w:ascii="Calibri Light" w:hAnsi="Calibri Light" w:cs="Calibri Light"/>
          <w:sz w:val="18"/>
          <w:szCs w:val="18"/>
        </w:rPr>
        <w:tab/>
      </w:r>
      <w:r w:rsidRPr="00A250EA">
        <w:rPr>
          <w:rFonts w:ascii="Calibri Light" w:hAnsi="Calibri Light" w:cs="Calibri Light"/>
          <w:sz w:val="18"/>
          <w:szCs w:val="18"/>
        </w:rPr>
        <w:tab/>
        <w:t>00297437</w:t>
      </w:r>
    </w:p>
    <w:p w14:paraId="4F513AD2" w14:textId="51D3EEB1" w:rsidR="00A64F93" w:rsidRPr="003B407E" w:rsidRDefault="00A64F93" w:rsidP="00A250EA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5D0B8F1F" w14:textId="77777777" w:rsidR="00DF70B8" w:rsidRPr="003B407E" w:rsidRDefault="00DF70B8" w:rsidP="00607682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2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C6225B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C6225B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E636" w14:textId="1DC83E00" w:rsidR="002A374A" w:rsidRPr="00C6225B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4405A130" w14:textId="77777777" w:rsidR="000D7A61" w:rsidRPr="003B407E" w:rsidRDefault="000D7A61" w:rsidP="000D7A61">
      <w:pPr>
        <w:pStyle w:val="Nadpis2"/>
        <w:framePr w:wrap="notBeside"/>
        <w:numPr>
          <w:ilvl w:val="0"/>
          <w:numId w:val="0"/>
        </w:numPr>
        <w:ind w:left="360"/>
        <w:rPr>
          <w:rFonts w:ascii="Calibri Light" w:hAnsi="Calibri Light" w:cs="Calibri Light"/>
          <w:b w:val="0"/>
        </w:rPr>
      </w:pPr>
      <w:bookmarkStart w:id="3" w:name="_Toc500230506"/>
    </w:p>
    <w:p w14:paraId="7E4144A1" w14:textId="4DD6B2D9" w:rsidR="000D7A61" w:rsidRPr="003B407E" w:rsidRDefault="000D7A61" w:rsidP="000D7A61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6B85920F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Pr="003B407E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3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3B407E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22C6046B" w14:textId="22497D91" w:rsidR="00FD6F1E" w:rsidRPr="00FD6F1E" w:rsidRDefault="00822E39" w:rsidP="00FD6F1E">
      <w:pPr>
        <w:pStyle w:val="Nadpis2"/>
        <w:framePr w:wrap="notBeside"/>
        <w:spacing w:after="12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08E17462" w14:textId="67397AF1" w:rsidR="00FD6F1E" w:rsidRDefault="00FD6F1E" w:rsidP="00FD6F1E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</w:t>
      </w:r>
      <w:r w:rsidRPr="004F7988">
        <w:rPr>
          <w:rFonts w:ascii="Calibri Light" w:hAnsi="Calibri Light" w:cs="Calibri Light"/>
          <w:sz w:val="18"/>
          <w:szCs w:val="18"/>
        </w:rPr>
        <w:t xml:space="preserve"> čestně prohlašuje, že plně akceptuje </w:t>
      </w:r>
      <w:r w:rsidRPr="00F83221">
        <w:rPr>
          <w:rFonts w:ascii="Calibri Light" w:hAnsi="Calibri Light" w:cs="Calibri Light"/>
          <w:sz w:val="18"/>
          <w:szCs w:val="18"/>
        </w:rPr>
        <w:t>Dodržení zásad sociálně a environmentálně odpovědného zadávání a inovací ve smyslu ZZVZ</w:t>
      </w:r>
      <w:r>
        <w:rPr>
          <w:rFonts w:ascii="Calibri Light" w:hAnsi="Calibri Light" w:cs="Calibri Light"/>
          <w:sz w:val="18"/>
          <w:szCs w:val="18"/>
        </w:rPr>
        <w:t xml:space="preserve">, které zadavatel zpracoval do přílohy č. </w:t>
      </w:r>
      <w:r w:rsidR="00BA3F72">
        <w:rPr>
          <w:rFonts w:ascii="Calibri Light" w:hAnsi="Calibri Light" w:cs="Calibri Light"/>
          <w:sz w:val="18"/>
          <w:szCs w:val="18"/>
        </w:rPr>
        <w:t xml:space="preserve">6 </w:t>
      </w:r>
      <w:r>
        <w:rPr>
          <w:rFonts w:ascii="Calibri Light" w:hAnsi="Calibri Light" w:cs="Calibri Light"/>
          <w:sz w:val="18"/>
          <w:szCs w:val="18"/>
        </w:rPr>
        <w:t>Zadávací dokumentace.</w:t>
      </w:r>
    </w:p>
    <w:p w14:paraId="5A248A75" w14:textId="77777777" w:rsidR="00DF70B8" w:rsidRPr="003B407E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b/>
          <w:bCs/>
        </w:rPr>
      </w:pPr>
    </w:p>
    <w:p w14:paraId="4A58FA4B" w14:textId="32204088" w:rsidR="005E6E15" w:rsidRPr="003B407E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5F6A94">
      <w:pPr>
        <w:pStyle w:val="Odstnesl"/>
        <w:keepNext/>
        <w:spacing w:before="24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5E6E15">
      <w:pPr>
        <w:pStyle w:val="Odstnesl"/>
        <w:keepNext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77777777" w:rsidR="005E6E15" w:rsidRPr="003B407E" w:rsidRDefault="005E6E15" w:rsidP="005E6E15">
      <w:pPr>
        <w:spacing w:before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3B407E" w:rsidRDefault="005E6E15" w:rsidP="005E6E15">
      <w:pPr>
        <w:spacing w:after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272EB316" w:rsidR="00264ED7" w:rsidRPr="003B407E" w:rsidRDefault="005E6E15" w:rsidP="000A3A1F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3B407E">
        <w:rPr>
          <w:rFonts w:ascii="Calibri Light" w:hAnsi="Calibri Light" w:cs="Calibri Light"/>
          <w:color w:val="333333"/>
          <w:sz w:val="18"/>
          <w:szCs w:val="18"/>
        </w:rPr>
        <w:t>subjektu</w:t>
      </w:r>
      <w:r w:rsidR="00FD6F1E">
        <w:rPr>
          <w:rFonts w:ascii="Calibri Light" w:hAnsi="Calibri Light" w:cs="Calibri Light"/>
          <w:color w:val="333333"/>
          <w:sz w:val="18"/>
          <w:szCs w:val="18"/>
        </w:rPr>
        <w:t xml:space="preserve"> města Český Těšín.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F37661D" w14:textId="77777777" w:rsidR="00FD6F1E" w:rsidRPr="003B407E" w:rsidRDefault="00FD6F1E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14:paraId="76AA3E07" w14:textId="77777777" w:rsidR="00DE56A2" w:rsidRPr="00B76DD6" w:rsidRDefault="00DE56A2" w:rsidP="00FD6F1E">
      <w:pPr>
        <w:pStyle w:val="Nadpis2"/>
        <w:framePr w:wrap="auto" w:vAnchor="margin" w:yAlign="inline"/>
        <w:numPr>
          <w:ilvl w:val="0"/>
          <w:numId w:val="1"/>
        </w:numPr>
        <w:spacing w:after="120"/>
        <w:ind w:left="357" w:hanging="357"/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FD6F1E">
      <w:p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DE56A2">
      <w:pPr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 materiálního využití fosilních paliv;</w:t>
      </w:r>
    </w:p>
    <w:p w14:paraId="06E8C1B0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 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73DEB5B4" w14:textId="1A7B8B26" w:rsidR="00DE56A2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 zároveň nebudou mít negativní dopad z pohledu biologické rozmanitosti.</w:t>
      </w:r>
    </w:p>
    <w:p w14:paraId="05FD5BFF" w14:textId="77777777" w:rsid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4" w:name="_Toc492370945"/>
      <w:bookmarkStart w:id="5" w:name="_Toc492371371"/>
      <w:bookmarkStart w:id="6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4"/>
      <w:bookmarkEnd w:id="5"/>
      <w:bookmarkEnd w:id="6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734075F7" w14:textId="77777777" w:rsidR="008A30E2" w:rsidRDefault="00110927" w:rsidP="008A30E2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8A30E2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79815FAD" w:rsidR="00110927" w:rsidRPr="008A30E2" w:rsidRDefault="00110927" w:rsidP="008A30E2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8A30E2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8A30E2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8A30E2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8A30E2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Pr="003B407E" w:rsidRDefault="00FF7BAE" w:rsidP="00110927">
      <w:pPr>
        <w:pStyle w:val="Odstnesl"/>
        <w:suppressAutoHyphens/>
        <w:ind w:left="1276" w:hanging="284"/>
        <w:contextualSpacing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5F6A94">
      <w:pPr>
        <w:pStyle w:val="Zkladntextodsazen3"/>
        <w:spacing w:before="240" w:after="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4562B2">
      <w:pPr>
        <w:pStyle w:val="Zkladntextodsazen3"/>
        <w:spacing w:after="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55765653" w14:textId="3A2CD5B5" w:rsidR="0091412F" w:rsidRDefault="00110927" w:rsidP="001B2C5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FD6F1E">
        <w:rPr>
          <w:rFonts w:ascii="Calibri Light" w:hAnsi="Calibri Light" w:cs="Calibri Light"/>
          <w:sz w:val="18"/>
          <w:szCs w:val="18"/>
          <w:lang w:eastAsia="cs-CZ"/>
        </w:rPr>
        <w:t xml:space="preserve">; </w:t>
      </w:r>
      <w:r w:rsidR="00FD6F1E" w:rsidRPr="00FD6F1E">
        <w:rPr>
          <w:rFonts w:ascii="Calibri Light" w:hAnsi="Calibri Light" w:cs="Calibri Light"/>
          <w:sz w:val="18"/>
          <w:szCs w:val="18"/>
          <w:lang w:eastAsia="cs-CZ"/>
        </w:rPr>
        <w:t>Truhlářství, podlahářství</w:t>
      </w:r>
      <w:r w:rsidR="00FD6F1E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194148D3" w14:textId="77777777" w:rsidR="001B2C58" w:rsidRPr="003B407E" w:rsidRDefault="001B2C58" w:rsidP="001B2C5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5F6A94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3363C573" w14:textId="450494C2" w:rsidR="00FD6F1E" w:rsidRPr="00FD6F1E" w:rsidRDefault="00FD6F1E" w:rsidP="00FD6F1E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FD6F1E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 posledních 3 letech realizoval </w:t>
      </w:r>
      <w:r w:rsidRPr="00FD6F1E">
        <w:rPr>
          <w:rFonts w:ascii="Calibri Light" w:hAnsi="Calibri Light" w:cs="Calibri Light"/>
          <w:b/>
          <w:bCs/>
          <w:sz w:val="18"/>
          <w:szCs w:val="18"/>
          <w:lang w:eastAsia="cs-CZ"/>
        </w:rPr>
        <w:t>nejméně 2 (dvě) zakázky</w:t>
      </w:r>
      <w:r w:rsidRPr="00FD6F1E">
        <w:rPr>
          <w:rFonts w:ascii="Calibri Light" w:hAnsi="Calibri Light" w:cs="Calibri Light"/>
          <w:sz w:val="18"/>
          <w:szCs w:val="18"/>
          <w:lang w:eastAsia="cs-CZ"/>
        </w:rPr>
        <w:t xml:space="preserve">, jejichž předmětem byla dodávka nábytku a interiérového vybavení obdobného charakteru předmětu veřejné zakázky (tzn. zejména </w:t>
      </w:r>
      <w:r w:rsidRPr="00FD6F1E">
        <w:rPr>
          <w:rFonts w:ascii="Calibri Light" w:hAnsi="Calibri Light" w:cs="Calibri Light"/>
          <w:sz w:val="18"/>
          <w:szCs w:val="18"/>
          <w:lang w:eastAsia="cs-CZ"/>
        </w:rPr>
        <w:lastRenderedPageBreak/>
        <w:t xml:space="preserve">stolů, židlí, skříněk včetně jejich kompletace v místě plnění) v minimálním finančním objemu </w:t>
      </w:r>
      <w:r w:rsidR="009B51F7">
        <w:rPr>
          <w:rFonts w:ascii="Calibri Light" w:hAnsi="Calibri Light" w:cs="Calibri Light"/>
          <w:b/>
          <w:bCs/>
          <w:sz w:val="18"/>
          <w:szCs w:val="18"/>
          <w:lang w:eastAsia="cs-CZ"/>
        </w:rPr>
        <w:t>8</w:t>
      </w:r>
      <w:r w:rsidR="003871D3">
        <w:rPr>
          <w:rFonts w:ascii="Calibri Light" w:hAnsi="Calibri Light" w:cs="Calibri Light"/>
          <w:b/>
          <w:bCs/>
          <w:sz w:val="18"/>
          <w:szCs w:val="18"/>
          <w:lang w:eastAsia="cs-CZ"/>
        </w:rPr>
        <w:t>00</w:t>
      </w:r>
      <w:r w:rsidRPr="00FD6F1E">
        <w:rPr>
          <w:rFonts w:ascii="Calibri Light" w:hAnsi="Calibri Light" w:cs="Calibri Light"/>
          <w:b/>
          <w:bCs/>
          <w:sz w:val="18"/>
          <w:szCs w:val="18"/>
          <w:lang w:eastAsia="cs-CZ"/>
        </w:rPr>
        <w:t xml:space="preserve"> 000,00 Kč bez DPH </w:t>
      </w:r>
      <w:r w:rsidRPr="00FD6F1E">
        <w:rPr>
          <w:rFonts w:ascii="Calibri Light" w:hAnsi="Calibri Light" w:cs="Calibri Light"/>
          <w:sz w:val="18"/>
          <w:szCs w:val="18"/>
          <w:lang w:eastAsia="cs-CZ"/>
        </w:rPr>
        <w:t>za každou takovou referenční zakázku zvlášť.</w:t>
      </w:r>
    </w:p>
    <w:p w14:paraId="159A8C78" w14:textId="77777777" w:rsidR="00FD6F1E" w:rsidRPr="00FD6F1E" w:rsidRDefault="00FD6F1E" w:rsidP="00FD6F1E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FD6F1E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6900A892" w14:textId="77777777" w:rsidR="00D74D3D" w:rsidRPr="003B407E" w:rsidRDefault="00D74D3D" w:rsidP="00D74D3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FB16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FB16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82D616F" w14:textId="77777777" w:rsidR="0091412F" w:rsidRPr="003B407E" w:rsidRDefault="0091412F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8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167790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167790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28F8DCD" w14:textId="77777777" w:rsidR="00CD52C3" w:rsidRDefault="00CD52C3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</w:p>
    <w:p w14:paraId="5EC7EABA" w14:textId="23EBA7C2" w:rsidR="003C7201" w:rsidRPr="003B407E" w:rsidRDefault="003C7201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426B5EB2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61B6D22F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7E5F302D" w:rsidR="003C7201" w:rsidRPr="003B407E" w:rsidRDefault="003C7201" w:rsidP="003C7201">
      <w:pPr>
        <w:pStyle w:val="Odstnesl"/>
        <w:keepNext/>
        <w:spacing w:before="12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2A03AD">
        <w:rPr>
          <w:rFonts w:ascii="Calibri Light" w:hAnsi="Calibri Light" w:cs="Calibri Light"/>
          <w:color w:val="333333"/>
          <w:sz w:val="18"/>
          <w:szCs w:val="18"/>
        </w:rPr>
        <w:t>města Český Těšín.</w:t>
      </w:r>
    </w:p>
    <w:p w14:paraId="44C27996" w14:textId="77777777" w:rsidR="003C7201" w:rsidRPr="003B407E" w:rsidRDefault="003C7201" w:rsidP="00644FF0">
      <w:pPr>
        <w:spacing w:before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3B407E" w:rsidRDefault="003C7201" w:rsidP="00644FF0">
      <w:pPr>
        <w:spacing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36106859" w:rsidR="003C7201" w:rsidRPr="003B407E" w:rsidRDefault="003C7201" w:rsidP="003C7201">
      <w:pPr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A30CAC" w:rsidRPr="00A30CAC">
        <w:rPr>
          <w:rFonts w:ascii="Calibri Light" w:hAnsi="Calibri Light" w:cs="Calibri Light"/>
          <w:color w:val="333333"/>
          <w:sz w:val="18"/>
          <w:szCs w:val="18"/>
          <w:lang w:eastAsia="cs-CZ"/>
        </w:rPr>
        <w:t>města Český Těšín.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392628">
        <w:trPr>
          <w:trHeight w:val="28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4B49670" w14:textId="77777777" w:rsidR="00DD14CD" w:rsidRPr="000755E7" w:rsidRDefault="00DD14CD" w:rsidP="00DD14CD">
      <w:pPr>
        <w:pStyle w:val="Zkladntextodsazen3"/>
        <w:pBdr>
          <w:bottom w:val="double" w:sz="4" w:space="1" w:color="auto"/>
        </w:pBdr>
        <w:ind w:left="0" w:right="-142" w:firstLine="708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0755E7">
        <w:rPr>
          <w:rFonts w:ascii="Calibri Light" w:hAnsi="Calibri Light" w:cs="Calibri Light"/>
          <w:i/>
          <w:iCs/>
          <w:sz w:val="18"/>
          <w:szCs w:val="18"/>
        </w:rPr>
        <w:t>Počet tabulek lze libovolně kopírovat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1B2C58">
        <w:tc>
          <w:tcPr>
            <w:tcW w:w="29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Datum: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1B2C58">
        <w:tc>
          <w:tcPr>
            <w:tcW w:w="29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59716A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8898A" w14:textId="77777777" w:rsidR="00C079E1" w:rsidRDefault="00C079E1" w:rsidP="00C726BB">
      <w:r>
        <w:separator/>
      </w:r>
    </w:p>
  </w:endnote>
  <w:endnote w:type="continuationSeparator" w:id="0">
    <w:p w14:paraId="7EDA3978" w14:textId="77777777" w:rsidR="00C079E1" w:rsidRDefault="00C079E1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2663C4A3" w:rsidR="00A807F9" w:rsidRDefault="003B407E" w:rsidP="0059716A">
    <w:pPr>
      <w:pStyle w:val="Zpat"/>
      <w:ind w:right="360"/>
      <w:jc w:val="center"/>
    </w:pPr>
    <w:r>
      <w:rPr>
        <w:noProof/>
      </w:rPr>
      <w:drawing>
        <wp:inline distT="0" distB="0" distL="0" distR="0" wp14:anchorId="5C7B56DD" wp14:editId="7974ADF9">
          <wp:extent cx="3005409" cy="361762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4335" cy="367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43948" w14:textId="77777777" w:rsidR="00C079E1" w:rsidRDefault="00C079E1" w:rsidP="00C726BB">
      <w:r>
        <w:separator/>
      </w:r>
    </w:p>
  </w:footnote>
  <w:footnote w:type="continuationSeparator" w:id="0">
    <w:p w14:paraId="01569672" w14:textId="77777777" w:rsidR="00C079E1" w:rsidRDefault="00C079E1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3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3007"/>
    <w:rsid w:val="0004381B"/>
    <w:rsid w:val="00051DD7"/>
    <w:rsid w:val="00076D7D"/>
    <w:rsid w:val="00081B00"/>
    <w:rsid w:val="000848FF"/>
    <w:rsid w:val="000863F4"/>
    <w:rsid w:val="000A3A1F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67790"/>
    <w:rsid w:val="001B2C58"/>
    <w:rsid w:val="00206220"/>
    <w:rsid w:val="0021037E"/>
    <w:rsid w:val="00231D0E"/>
    <w:rsid w:val="00251D18"/>
    <w:rsid w:val="00264ED7"/>
    <w:rsid w:val="0026517B"/>
    <w:rsid w:val="002A03AD"/>
    <w:rsid w:val="002A374A"/>
    <w:rsid w:val="002C08B5"/>
    <w:rsid w:val="002D6308"/>
    <w:rsid w:val="00320DCD"/>
    <w:rsid w:val="00344026"/>
    <w:rsid w:val="00346ADE"/>
    <w:rsid w:val="00383BE9"/>
    <w:rsid w:val="003871D3"/>
    <w:rsid w:val="00387E5E"/>
    <w:rsid w:val="00392628"/>
    <w:rsid w:val="003A15C2"/>
    <w:rsid w:val="003A3F48"/>
    <w:rsid w:val="003B387C"/>
    <w:rsid w:val="003B407E"/>
    <w:rsid w:val="003C7201"/>
    <w:rsid w:val="003E5D95"/>
    <w:rsid w:val="003E6FEC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E3A47"/>
    <w:rsid w:val="004E6C3F"/>
    <w:rsid w:val="004F4A56"/>
    <w:rsid w:val="0053414C"/>
    <w:rsid w:val="0059716A"/>
    <w:rsid w:val="005A4BC6"/>
    <w:rsid w:val="005A7870"/>
    <w:rsid w:val="005E6E15"/>
    <w:rsid w:val="005F6A94"/>
    <w:rsid w:val="00607682"/>
    <w:rsid w:val="006222B5"/>
    <w:rsid w:val="00635287"/>
    <w:rsid w:val="00642E81"/>
    <w:rsid w:val="00644FF0"/>
    <w:rsid w:val="00655AAB"/>
    <w:rsid w:val="006B75B7"/>
    <w:rsid w:val="006C5CC2"/>
    <w:rsid w:val="006E524F"/>
    <w:rsid w:val="00717BED"/>
    <w:rsid w:val="0073780C"/>
    <w:rsid w:val="007A5B1C"/>
    <w:rsid w:val="007A6231"/>
    <w:rsid w:val="007B136F"/>
    <w:rsid w:val="007B7BD7"/>
    <w:rsid w:val="007C2C8A"/>
    <w:rsid w:val="007D207A"/>
    <w:rsid w:val="007D69A9"/>
    <w:rsid w:val="0080524B"/>
    <w:rsid w:val="00820FBC"/>
    <w:rsid w:val="00822E39"/>
    <w:rsid w:val="00827FF4"/>
    <w:rsid w:val="00860F3A"/>
    <w:rsid w:val="008651ED"/>
    <w:rsid w:val="00865364"/>
    <w:rsid w:val="00887484"/>
    <w:rsid w:val="008A30E2"/>
    <w:rsid w:val="008C083E"/>
    <w:rsid w:val="0091412F"/>
    <w:rsid w:val="009405E2"/>
    <w:rsid w:val="00967C6F"/>
    <w:rsid w:val="00976B72"/>
    <w:rsid w:val="00976D53"/>
    <w:rsid w:val="00984DA4"/>
    <w:rsid w:val="00993B53"/>
    <w:rsid w:val="009B51F7"/>
    <w:rsid w:val="00A02C2C"/>
    <w:rsid w:val="00A2185C"/>
    <w:rsid w:val="00A2287E"/>
    <w:rsid w:val="00A250EA"/>
    <w:rsid w:val="00A306CE"/>
    <w:rsid w:val="00A30CAC"/>
    <w:rsid w:val="00A64F93"/>
    <w:rsid w:val="00A807F9"/>
    <w:rsid w:val="00A80DA0"/>
    <w:rsid w:val="00A81409"/>
    <w:rsid w:val="00AA479E"/>
    <w:rsid w:val="00AA5068"/>
    <w:rsid w:val="00AC1D76"/>
    <w:rsid w:val="00B06D7F"/>
    <w:rsid w:val="00B100C1"/>
    <w:rsid w:val="00B532D2"/>
    <w:rsid w:val="00B727A6"/>
    <w:rsid w:val="00BA3F72"/>
    <w:rsid w:val="00BB60D1"/>
    <w:rsid w:val="00BB7999"/>
    <w:rsid w:val="00BC32F3"/>
    <w:rsid w:val="00C079E1"/>
    <w:rsid w:val="00C2269C"/>
    <w:rsid w:val="00C526E8"/>
    <w:rsid w:val="00C6225B"/>
    <w:rsid w:val="00C726BB"/>
    <w:rsid w:val="00C75614"/>
    <w:rsid w:val="00C762D3"/>
    <w:rsid w:val="00C93402"/>
    <w:rsid w:val="00CC679F"/>
    <w:rsid w:val="00CD52C3"/>
    <w:rsid w:val="00CE6B01"/>
    <w:rsid w:val="00CE7219"/>
    <w:rsid w:val="00CF59FF"/>
    <w:rsid w:val="00D04CFA"/>
    <w:rsid w:val="00D0750D"/>
    <w:rsid w:val="00D34489"/>
    <w:rsid w:val="00D704C4"/>
    <w:rsid w:val="00D74D3D"/>
    <w:rsid w:val="00DB0E86"/>
    <w:rsid w:val="00DB1627"/>
    <w:rsid w:val="00DB33C4"/>
    <w:rsid w:val="00DD14CD"/>
    <w:rsid w:val="00DE56A2"/>
    <w:rsid w:val="00DE68C8"/>
    <w:rsid w:val="00DF70B8"/>
    <w:rsid w:val="00E128B5"/>
    <w:rsid w:val="00E76E33"/>
    <w:rsid w:val="00E85A59"/>
    <w:rsid w:val="00EB1BF9"/>
    <w:rsid w:val="00ED784D"/>
    <w:rsid w:val="00F179DA"/>
    <w:rsid w:val="00F245B1"/>
    <w:rsid w:val="00F24715"/>
    <w:rsid w:val="00F4593D"/>
    <w:rsid w:val="00F46B91"/>
    <w:rsid w:val="00F51322"/>
    <w:rsid w:val="00F7370E"/>
    <w:rsid w:val="00F8302E"/>
    <w:rsid w:val="00FB1647"/>
    <w:rsid w:val="00FC0288"/>
    <w:rsid w:val="00FD03B5"/>
    <w:rsid w:val="00FD6F1E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styleId="Bezmezer">
    <w:name w:val="No Spacing"/>
    <w:uiPriority w:val="1"/>
    <w:qFormat/>
    <w:rsid w:val="00FD6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1775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Microsoft Office User</cp:lastModifiedBy>
  <cp:revision>20</cp:revision>
  <cp:lastPrinted>2021-03-16T08:15:00Z</cp:lastPrinted>
  <dcterms:created xsi:type="dcterms:W3CDTF">2023-12-19T20:38:00Z</dcterms:created>
  <dcterms:modified xsi:type="dcterms:W3CDTF">2026-01-21T08:31:00Z</dcterms:modified>
</cp:coreProperties>
</file>